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120" w:after="600"/>
        <w:jc w:val="center"/>
      </w:pPr>
      <w:r>
        <w:rPr>
          <w:rFonts w:ascii="Calibri" w:hAnsi="Calibri"/>
        </w:rPr>
        <w:drawing>
          <wp:inline xmlns:a="http://schemas.openxmlformats.org/drawingml/2006/main" xmlns:pic="http://schemas.openxmlformats.org/drawingml/2006/picture">
            <wp:extent cx="658368" cy="658368"/>
            <wp:docPr id="1" name="Picture 1" descr="SafeChat logo" title="SafeChat"/>
            <wp:cNvGraphicFramePr>
              <a:graphicFrameLocks noChangeAspect="1"/>
            </wp:cNvGraphicFramePr>
            <a:graphic>
              <a:graphicData uri="http://schemas.openxmlformats.org/drawingml/2006/picture">
                <pic:pic>
                  <pic:nvPicPr>
                    <pic:cNvPr id="0" name="safechat-print-mark.png"/>
                    <pic:cNvPicPr/>
                  </pic:nvPicPr>
                  <pic:blipFill>
                    <a:blip r:embed="rId11"/>
                    <a:stretch>
                      <a:fillRect/>
                    </a:stretch>
                  </pic:blipFill>
                  <pic:spPr>
                    <a:xfrm>
                      <a:off x="0" y="0"/>
                      <a:ext cx="658368" cy="658368"/>
                    </a:xfrm>
                    <a:prstGeom prst="rect"/>
                  </pic:spPr>
                </pic:pic>
              </a:graphicData>
            </a:graphic>
          </wp:inline>
        </w:drawing>
      </w:r>
    </w:p>
    <w:p>
      <w:pPr>
        <w:spacing w:after="180"/>
        <w:jc w:val="center"/>
      </w:pPr>
      <w:r>
        <w:rPr>
          <w:rFonts w:ascii="Calibri" w:hAnsi="Calibri"/>
          <w:b/>
          <w:color w:val="2E74B5"/>
          <w:sz w:val="20"/>
        </w:rPr>
        <w:t>PARTNER &amp; RESEARCH OVERVIEW</w:t>
      </w:r>
    </w:p>
    <w:p>
      <w:pPr>
        <w:spacing w:after="160"/>
        <w:jc w:val="center"/>
      </w:pPr>
      <w:r>
        <w:rPr>
          <w:rFonts w:ascii="Calibri" w:hAnsi="Calibri"/>
          <w:b/>
          <w:color w:val="0B2545"/>
          <w:sz w:val="60"/>
        </w:rPr>
        <w:t>SafeChat</w:t>
      </w:r>
    </w:p>
    <w:p>
      <w:pPr>
        <w:spacing w:after="520"/>
        <w:jc w:val="center"/>
      </w:pPr>
      <w:r>
        <w:rPr>
          <w:rFonts w:ascii="Calibri" w:hAnsi="Calibri"/>
          <w:color w:val="5B6573"/>
          <w:sz w:val="30"/>
        </w:rPr>
        <w:t>A privacy-preserving crisis-routing layer for AI conversations</w:t>
      </w:r>
    </w:p>
    <w:p>
      <w:pPr>
        <w:spacing w:before="160" w:after="160" w:line="276" w:lineRule="auto"/>
        <w:ind w:left="360" w:right="360"/>
        <w:jc w:val="center"/>
        <w:shd w:fill="F2F4F7"/>
      </w:pPr>
      <w:r>
        <w:rPr>
          <w:rFonts w:ascii="Calibri" w:hAnsi="Calibri"/>
          <w:b/>
          <w:color w:val="0B2545"/>
          <w:sz w:val="24"/>
        </w:rPr>
        <w:t xml:space="preserve">  Sovereign local detection. Transparent routing. Human support.</w:t>
        <w:br/>
        <w:t xml:space="preserve">No conversation text sent to SafeChat.  </w:t>
      </w:r>
    </w:p>
    <w:p>
      <w:pPr>
        <w:spacing w:before="480" w:after="100"/>
        <w:jc w:val="center"/>
      </w:pPr>
      <w:r>
        <w:rPr>
          <w:rFonts w:ascii="Calibri" w:hAnsi="Calibri"/>
          <w:b/>
          <w:color w:val="5B6573"/>
          <w:sz w:val="20"/>
        </w:rPr>
        <w:t>Interactive demonstration</w:t>
      </w:r>
    </w:p>
    <w:p>
      <w:pPr>
        <w:spacing w:after="440"/>
        <w:jc w:val="center"/>
      </w:pPr>
      <w:hyperlink r:id="rId12">
        <w:r>
          <w:rPr>
            <w:color w:val="2E74B5"/>
            <w:u w:val="single"/>
          </w:rPr>
          <w:t>rob-e-graham.github.io/safechat/app/inspector.html</w:t>
        </w:r>
      </w:hyperlink>
    </w:p>
    <w:p>
      <w:pPr>
        <w:jc w:val="center"/>
      </w:pPr>
      <w:r>
        <w:rPr>
          <w:rFonts w:ascii="Calibri" w:hAnsi="Calibri"/>
          <w:color w:val="5B6573"/>
          <w:sz w:val="20"/>
        </w:rPr>
        <w:t>Rob Graham  |  FAMTEC  |  19 June 2026</w:t>
      </w:r>
    </w:p>
    <w:p>
      <w:r>
        <w:rPr>
          <w:rFonts w:ascii="Calibri" w:hAnsi="Calibri"/>
        </w:rPr>
        <w:br w:type="page"/>
      </w:r>
    </w:p>
    <w:p>
      <w:pPr>
        <w:pStyle w:val="Lead"/>
      </w:pPr>
      <w:r>
        <w:rPr>
          <w:rFonts w:ascii="Calibri" w:hAnsi="Calibri"/>
          <w:sz w:val="22"/>
        </w:rPr>
        <w:t>SafeChat is a source-available software component that helps AI applications recognise textual signs of distress and connect people with appropriate human support. Detection runs locally on the user's device, so SafeChat does not need to transmit, store, or analyse conversation text on an external server.</w:t>
      </w:r>
    </w:p>
    <w:p>
      <w:r>
        <w:rPr>
          <w:rFonts w:ascii="Calibri" w:hAnsi="Calibri"/>
          <w:sz w:val="22"/>
        </w:rPr>
        <w:t>SafeChat is not a chatbot, diagnostic tool, clinical risk score, counselling service, or replacement for emergency services. It is one safety layer that a responsible AI product can integrate into a wider safeguarding system.</w:t>
      </w:r>
    </w:p>
    <w:p>
      <w:r>
        <w:rPr>
          <w:rFonts w:ascii="Calibri" w:hAnsi="Calibri"/>
          <w:b/>
          <w:sz w:val="22"/>
        </w:rPr>
        <w:t>Interactive demonstration:</w:t>
      </w:r>
      <w:r>
        <w:rPr>
          <w:rFonts w:ascii="Calibri" w:hAnsi="Calibri"/>
          <w:sz w:val="22"/>
        </w:rPr>
        <w:t xml:space="preserve"> </w:t>
      </w:r>
      <w:hyperlink r:id="rId12">
        <w:r>
          <w:rPr>
            <w:color w:val="2E74B5"/>
            <w:u w:val="single"/>
          </w:rPr>
          <w:t>Open the SafeChat inspector</w:t>
        </w:r>
      </w:hyperlink>
    </w:p>
    <w:p>
      <w:r>
        <w:rPr>
          <w:rFonts w:ascii="Calibri" w:hAnsi="Calibri"/>
          <w:b/>
          <w:sz w:val="22"/>
        </w:rPr>
        <w:t>Project repository:</w:t>
      </w:r>
      <w:r>
        <w:rPr>
          <w:rFonts w:ascii="Calibri" w:hAnsi="Calibri"/>
          <w:sz w:val="22"/>
        </w:rPr>
        <w:t xml:space="preserve"> </w:t>
      </w:r>
      <w:hyperlink r:id="rId13">
        <w:r>
          <w:rPr>
            <w:color w:val="2E74B5"/>
            <w:u w:val="single"/>
          </w:rPr>
          <w:t>View SafeChat on GitHub</w:t>
        </w:r>
      </w:hyperlink>
    </w:p>
    <w:p>
      <w:pPr>
        <w:pStyle w:val="Heading1"/>
        <w:keepNext/>
        <w:keepLines/>
      </w:pPr>
      <w:r>
        <w:rPr>
          <w:rFonts w:ascii="Calibri" w:hAnsi="Calibri"/>
          <w:sz w:val="22"/>
        </w:rPr>
        <w:t>Sovereign and private by design</w:t>
      </w:r>
    </w:p>
    <w:p>
      <w:r>
        <w:rPr>
          <w:rFonts w:ascii="Calibri" w:hAnsi="Calibri"/>
          <w:sz w:val="22"/>
        </w:rPr>
        <w:t>SafeChat can run as sovereign infrastructure inside the organisation's own application and on the user's own device. The standard detection path does not send conversation text to SafeChat, FAMTEC, VERA-MH, an advertising network, or a separate cloud-classification service. It does not create a central profile of a person's distress disclosures.</w:t>
      </w:r>
    </w:p>
    <w:p>
      <w:r>
        <w:rPr>
          <w:rFonts w:ascii="Calibri" w:hAnsi="Calibri"/>
          <w:sz w:val="22"/>
        </w:rPr>
        <w:t>During multi-turn accumulation, SafeChat holds only signal categories, configured weights, and timestamps in temporary session memory. Message text is not retained by SafeChat, and the session state can be cleared or allowed to expire. Normal conversation does not trigger a referral: the deployment activates its configured support pathway only when a direct signal or accumulated threshold is reached.</w:t>
      </w:r>
    </w:p>
    <w:p>
      <w:r>
        <w:rPr>
          <w:rFonts w:ascii="Calibri" w:hAnsi="Calibri"/>
          <w:sz w:val="22"/>
        </w:rPr>
        <w:t>This makes SafeChat suitable for privacy-sensitive contexts such as workplaces, schools, universities, health-adjacent services, community organisations, and private-sector applications. It can help an organisation provide a safety response without centralising vulnerable conversation content or introducing covert behavioural profiling.</w:t>
      </w:r>
    </w:p>
    <w:p>
      <w:r>
        <w:rPr>
          <w:rFonts w:ascii="Calibri" w:hAnsi="Calibri"/>
          <w:sz w:val="22"/>
        </w:rPr>
        <w:t>That creates a basis for trust: employers, educators, and service providers can offer a protective pathway without centralising or repurposing private conversations for surveillance. Trust still depends on clear disclosure, accountable governance, and a firm boundary preventing safety signals from being reused for discipline, performance monitoring, advertising, or unrelated profiling.</w:t>
      </w:r>
    </w:p>
    <w:p>
      <w:r>
        <w:rPr>
          <w:rFonts w:ascii="Calibri" w:hAnsi="Calibri"/>
          <w:sz w:val="22"/>
        </w:rPr>
        <w:t>Local-first processing supports data minimisation and can reduce privacy, security, retention, access, and breach exposure. It does not make every deployment automatically lawful or ethical. Implementers must disclose the safeguard appropriately and assess consent, purpose, proportionality, employment and education rules, safeguarding duties, privacy law, and any human escalation process in their jurisdiction.</w:t>
      </w:r>
    </w:p>
    <w:p>
      <w:r>
        <w:rPr>
          <w:rFonts w:ascii="Calibri" w:hAnsi="Calibri"/>
          <w:sz w:val="22"/>
        </w:rPr>
        <w:t>VERA-MH is an evaluation framework, not a crisis-referral destination. SafeChat can be evaluated as part of a VERA-MH study, but a triggered user should be routed to appropriate human care or another deployment-defined safeguarding pathway, not "referred to VERA-MH."</w:t>
      </w:r>
    </w:p>
    <w:p>
      <w:pPr>
        <w:pStyle w:val="Heading1"/>
        <w:keepNext/>
        <w:keepLines/>
      </w:pPr>
      <w:r>
        <w:rPr>
          <w:rFonts w:ascii="Calibri" w:hAnsi="Calibri"/>
          <w:sz w:val="22"/>
        </w:rPr>
        <w:t>Why it exists</w:t>
      </w:r>
    </w:p>
    <w:p>
      <w:r>
        <w:rPr>
          <w:rFonts w:ascii="Calibri" w:hAnsi="Calibri"/>
          <w:sz w:val="22"/>
        </w:rPr>
        <w:t>People increasingly disclose distress, self-harm, and suicidal thoughts to general-purpose and companion chatbots. The conversational model may miss an indirect disclosure, respond inconsistently, or fail to connect the person with appropriate human care.</w:t>
      </w:r>
    </w:p>
    <w:p>
      <w:r>
        <w:rPr>
          <w:rFonts w:ascii="Calibri" w:hAnsi="Calibri"/>
          <w:sz w:val="22"/>
        </w:rPr>
        <w:t>SafeChat gives developers a separate, inspectable routing layer. It is designed to remain available even when a model changes, an API is unavailable, or the device is offline.</w:t>
      </w:r>
    </w:p>
    <w:p>
      <w:pPr>
        <w:pStyle w:val="Heading1"/>
        <w:keepNext/>
        <w:keepLines/>
      </w:pPr>
      <w:r>
        <w:rPr>
          <w:rFonts w:ascii="Calibri" w:hAnsi="Calibri"/>
          <w:sz w:val="22"/>
        </w:rPr>
        <w:t>How it works</w:t>
      </w:r>
    </w:p>
    <w:p>
      <w:pPr>
        <w:numPr>
          <w:ilvl w:val="0"/>
          <w:numId w:val="10"/>
        </w:numPr>
      </w:pPr>
      <w:r>
        <w:rPr>
          <w:rFonts w:ascii="Calibri" w:hAnsi="Calibri"/>
          <w:b/>
          <w:sz w:val="22"/>
        </w:rPr>
        <w:t>Observe locally.</w:t>
      </w:r>
      <w:r>
        <w:rPr>
          <w:rFonts w:ascii="Calibri" w:hAnsi="Calibri"/>
          <w:sz w:val="22"/>
        </w:rPr>
        <w:t xml:space="preserve"> SafeChat reads text inside the host application. The standard detection path runs on the device and sends no message content to SafeChat or FAMTEC.</w:t>
      </w:r>
    </w:p>
    <w:p>
      <w:pPr>
        <w:numPr>
          <w:ilvl w:val="0"/>
          <w:numId w:val="10"/>
        </w:numPr>
      </w:pPr>
      <w:r>
        <w:rPr>
          <w:rFonts w:ascii="Calibri" w:hAnsi="Calibri"/>
          <w:b/>
          <w:sz w:val="22"/>
        </w:rPr>
        <w:t>Recognise signals.</w:t>
      </w:r>
      <w:r>
        <w:rPr>
          <w:rFonts w:ascii="Calibri" w:hAnsi="Calibri"/>
          <w:sz w:val="22"/>
        </w:rPr>
        <w:t xml:space="preserve"> Deterministic, reviewed signal families cover explicit crisis language, passive or indirect expressions, common misspellings, slang, and false-positive boundaries. Optional local semantic and ML tiers can provide a second opinion without downgrading a deterministic detection.</w:t>
      </w:r>
    </w:p>
    <w:p>
      <w:pPr>
        <w:numPr>
          <w:ilvl w:val="0"/>
          <w:numId w:val="10"/>
        </w:numPr>
      </w:pPr>
      <w:r>
        <w:rPr>
          <w:rFonts w:ascii="Calibri" w:hAnsi="Calibri"/>
          <w:b/>
          <w:sz w:val="22"/>
        </w:rPr>
        <w:t>Accumulate context.</w:t>
      </w:r>
      <w:r>
        <w:rPr>
          <w:rFonts w:ascii="Calibri" w:hAnsi="Calibri"/>
          <w:sz w:val="22"/>
        </w:rPr>
        <w:t xml:space="preserve"> Individually ambiguous contextual signals can contribute transparent, configurable weights during a session. SafeChat retains categories, weights, and timestamps rather than message text.</w:t>
      </w:r>
    </w:p>
    <w:p>
      <w:pPr>
        <w:numPr>
          <w:ilvl w:val="0"/>
          <w:numId w:val="10"/>
        </w:numPr>
      </w:pPr>
      <w:r>
        <w:rPr>
          <w:rFonts w:ascii="Calibri" w:hAnsi="Calibri"/>
          <w:b/>
          <w:sz w:val="22"/>
        </w:rPr>
        <w:t>Route proportionately.</w:t>
      </w:r>
      <w:r>
        <w:rPr>
          <w:rFonts w:ascii="Calibri" w:hAnsi="Calibri"/>
          <w:sz w:val="22"/>
        </w:rPr>
        <w:t xml:space="preserve"> A deployment can show a gentle support banner, interrupt with a crisis-resource modal, notify a moderator, or invoke its own escalation pathway. Threat and hate-speech moderation remain separate from self-directed crisis routing.</w:t>
      </w:r>
    </w:p>
    <w:p>
      <w:pPr>
        <w:numPr>
          <w:ilvl w:val="0"/>
          <w:numId w:val="10"/>
        </w:numPr>
      </w:pPr>
      <w:r>
        <w:rPr>
          <w:rFonts w:ascii="Calibri" w:hAnsi="Calibri"/>
          <w:b/>
          <w:sz w:val="22"/>
        </w:rPr>
        <w:t>Connect to human help.</w:t>
      </w:r>
      <w:r>
        <w:rPr>
          <w:rFonts w:ascii="Calibri" w:hAnsi="Calibri"/>
          <w:sz w:val="22"/>
        </w:rPr>
        <w:t xml:space="preserve"> The included resource dataset contains 67 records across 34 countries and 94 phone, text, chat, email, WhatsApp, and web contact methods. Automated checks cover structure, phone formatting, and chat-link reachability; operating details still require human verification.</w:t>
      </w:r>
    </w:p>
    <w:p>
      <w:r>
        <w:rPr>
          <w:rFonts w:ascii="Calibri" w:hAnsi="Calibri"/>
          <w:sz w:val="22"/>
        </w:rPr>
        <w:t>The current engineering suite contains 647 automated tests. These tests demonstrate repeatable software behaviour and regression protection. They do not establish clinical validity, population-level accuracy, fairness, or improved health outcomes.</w:t>
      </w:r>
    </w:p>
    <w:p>
      <w:pPr>
        <w:pStyle w:val="Heading1"/>
        <w:keepNext/>
        <w:keepLines/>
      </w:pPr>
      <w:r>
        <w:rPr>
          <w:rFonts w:ascii="Calibri" w:hAnsi="Calibri"/>
          <w:sz w:val="22"/>
        </w:rPr>
        <w:t>How the evidence was applied</w:t>
      </w:r>
    </w:p>
    <w:p>
      <w:r>
        <w:rPr>
          <w:rFonts w:ascii="Calibri" w:hAnsi="Calibri"/>
          <w:sz w:val="22"/>
        </w:rPr>
        <w:t>SafeChat reviewed the published methods, risk taxonomies, and permitted public examples from C-SSRS, Reddit C-SSRS, CLPsych, eRisk, VERA-MH, MindGuard, MentalLLaMA, and MentalChat16K. It did not ingest every original research dataset. Several source collections contain restricted or sensitive records and are deliberately not distributed with SafeChat.</w:t>
      </w:r>
    </w:p>
    <w:p>
      <w:r>
        <w:rPr>
          <w:rFonts w:ascii="Calibri" w:hAnsi="Calibri"/>
          <w:sz w:val="22"/>
        </w:rPr>
        <w:t>The evidence was applied through a reproducible engineering process:</w:t>
      </w:r>
    </w:p>
    <w:p>
      <w:pPr>
        <w:numPr>
          <w:ilvl w:val="0"/>
          <w:numId w:val="11"/>
        </w:numPr>
      </w:pPr>
      <w:r>
        <w:rPr>
          <w:rFonts w:ascii="Calibri" w:hAnsi="Calibri"/>
          <w:sz w:val="22"/>
        </w:rPr>
        <w:t>review published evidence and permitted public examples;</w:t>
      </w:r>
    </w:p>
    <w:p>
      <w:pPr>
        <w:numPr>
          <w:ilvl w:val="0"/>
          <w:numId w:val="11"/>
        </w:numPr>
      </w:pPr>
      <w:r>
        <w:rPr>
          <w:rFonts w:ascii="Calibri" w:hAnsi="Calibri"/>
          <w:sz w:val="22"/>
        </w:rPr>
        <w:t>identify observable language families and contextual risk concepts;</w:t>
      </w:r>
    </w:p>
    <w:p>
      <w:pPr>
        <w:numPr>
          <w:ilvl w:val="0"/>
          <w:numId w:val="11"/>
        </w:numPr>
      </w:pPr>
      <w:r>
        <w:rPr>
          <w:rFonts w:ascii="Calibri" w:hAnsi="Calibri"/>
          <w:sz w:val="22"/>
        </w:rPr>
        <w:t>translate relevant concepts into source-attributed local trigger rules and session categories;</w:t>
      </w:r>
    </w:p>
    <w:p>
      <w:pPr>
        <w:numPr>
          <w:ilvl w:val="0"/>
          <w:numId w:val="11"/>
        </w:numPr>
      </w:pPr>
      <w:r>
        <w:rPr>
          <w:rFonts w:ascii="Calibri" w:hAnsi="Calibri"/>
          <w:sz w:val="22"/>
        </w:rPr>
        <w:t>test direct examples, paraphrases, misspellings, indirect wording, and multi-turn accumulation;</w:t>
      </w:r>
    </w:p>
    <w:p>
      <w:pPr>
        <w:numPr>
          <w:ilvl w:val="0"/>
          <w:numId w:val="11"/>
        </w:numPr>
      </w:pPr>
      <w:r>
        <w:rPr>
          <w:rFonts w:ascii="Calibri" w:hAnsi="Calibri"/>
          <w:sz w:val="22"/>
        </w:rPr>
        <w:t>test benign and figurative language to reduce false-positive behaviour;</w:t>
      </w:r>
    </w:p>
    <w:p>
      <w:pPr>
        <w:numPr>
          <w:ilvl w:val="0"/>
          <w:numId w:val="11"/>
        </w:numPr>
      </w:pPr>
      <w:r>
        <w:rPr>
          <w:rFonts w:ascii="Calibri" w:hAnsi="Calibri"/>
          <w:sz w:val="22"/>
        </w:rPr>
        <w:t>verify consistent behaviour across server and browser builds; and</w:t>
      </w:r>
    </w:p>
    <w:p>
      <w:pPr>
        <w:numPr>
          <w:ilvl w:val="0"/>
          <w:numId w:val="11"/>
        </w:numPr>
      </w:pPr>
      <w:r>
        <w:rPr>
          <w:rFonts w:ascii="Calibri" w:hAnsi="Calibri"/>
          <w:sz w:val="22"/>
        </w:rPr>
        <w:t>retain only categories, configured weights, and timestamps during accumulation rather than storing conversation text.</w:t>
      </w:r>
    </w:p>
    <w:p>
      <w:r>
        <w:rPr>
          <w:rFonts w:ascii="Calibri" w:hAnsi="Calibri"/>
          <w:sz w:val="22"/>
        </w:rPr>
        <w:t>Every reviewed production rule records a source, signal family, rationale, and routing level. False-positive guards run before reviewed signals can trigger, and moderation signals remain separate from self-directed crisis routing.</w:t>
      </w:r>
    </w:p>
    <w:p>
      <w:r>
        <w:rPr>
          <w:rFonts w:ascii="Calibri" w:hAnsi="Calibri"/>
          <w:sz w:val="22"/>
        </w:rPr>
        <w:t>For VERA-MH specifically, all 100 public final seed phrases were inspected as a coverage audit. The audit was used to find missing observable language families and contextual categories. It was not used to calculate sensitivity or specificity because some VERA-MH persona openings deliberately omit or obscure the hidden risk condition.</w:t>
      </w:r>
    </w:p>
    <w:p>
      <w:r>
        <w:rPr>
          <w:rFonts w:ascii="Calibri" w:hAnsi="Calibri"/>
          <w:sz w:val="22"/>
        </w:rPr>
        <w:t>The current 647-test suite is engineering evidence: it demonstrates deterministic behaviour, regression protection, false-positive boundaries, multi-turn accumulation, and server/browser parity. It is not clinical evidence and does not establish population-level accuracy, fairness, improved health outcomes, or a formal VERA-MH score.</w:t>
      </w:r>
    </w:p>
    <w:p>
      <w:pPr>
        <w:pStyle w:val="Heading1"/>
        <w:keepNext/>
        <w:keepLines/>
      </w:pPr>
      <w:r>
        <w:rPr>
          <w:rFonts w:ascii="Calibri" w:hAnsi="Calibri"/>
          <w:sz w:val="22"/>
        </w:rPr>
        <w:t>What the demonstration shows</w:t>
      </w:r>
    </w:p>
    <w:p>
      <w:r>
        <w:rPr>
          <w:rFonts w:ascii="Calibri" w:hAnsi="Calibri"/>
          <w:sz w:val="22"/>
        </w:rPr>
        <w:t>The interactive inspector makes each layer visible. It can show:</w:t>
      </w:r>
    </w:p>
    <w:p>
      <w:pPr>
        <w:numPr>
          <w:ilvl w:val="0"/>
          <w:numId w:val="12"/>
        </w:numPr>
      </w:pPr>
      <w:r>
        <w:rPr>
          <w:rFonts w:ascii="Calibri" w:hAnsi="Calibri"/>
          <w:sz w:val="22"/>
        </w:rPr>
        <w:t>an idiom correctly rejected as a false positive;</w:t>
      </w:r>
    </w:p>
    <w:p>
      <w:pPr>
        <w:numPr>
          <w:ilvl w:val="0"/>
          <w:numId w:val="12"/>
        </w:numPr>
      </w:pPr>
      <w:r>
        <w:rPr>
          <w:rFonts w:ascii="Calibri" w:hAnsi="Calibri"/>
          <w:sz w:val="22"/>
        </w:rPr>
        <w:t>explicit crisis language routed immediately;</w:t>
      </w:r>
    </w:p>
    <w:p>
      <w:pPr>
        <w:numPr>
          <w:ilvl w:val="0"/>
          <w:numId w:val="12"/>
        </w:numPr>
      </w:pPr>
      <w:r>
        <w:rPr>
          <w:rFonts w:ascii="Calibri" w:hAnsi="Calibri"/>
          <w:sz w:val="22"/>
        </w:rPr>
        <w:t>a hedged passive expression routed to a gentle support response;</w:t>
      </w:r>
    </w:p>
    <w:p>
      <w:pPr>
        <w:numPr>
          <w:ilvl w:val="0"/>
          <w:numId w:val="12"/>
        </w:numPr>
      </w:pPr>
      <w:r>
        <w:rPr>
          <w:rFonts w:ascii="Calibri" w:hAnsi="Calibri"/>
          <w:sz w:val="22"/>
        </w:rPr>
        <w:t>contextual signals accumulating from no route, through LOW, to HIGH;</w:t>
      </w:r>
    </w:p>
    <w:p>
      <w:pPr>
        <w:numPr>
          <w:ilvl w:val="0"/>
          <w:numId w:val="12"/>
        </w:numPr>
      </w:pPr>
      <w:r>
        <w:rPr>
          <w:rFonts w:ascii="Calibri" w:hAnsi="Calibri"/>
          <w:sz w:val="22"/>
        </w:rPr>
        <w:t>threat language entering a separate moderation lane; and</w:t>
      </w:r>
    </w:p>
    <w:p>
      <w:pPr>
        <w:numPr>
          <w:ilvl w:val="0"/>
          <w:numId w:val="12"/>
        </w:numPr>
      </w:pPr>
      <w:r>
        <w:rPr>
          <w:rFonts w:ascii="Calibri" w:hAnsi="Calibri"/>
          <w:sz w:val="22"/>
        </w:rPr>
        <w:t>the actual banner or crisis-resource modal that an integrated application can display.</w:t>
      </w:r>
    </w:p>
    <w:p>
      <w:r>
        <w:rPr>
          <w:rFonts w:ascii="Calibri" w:hAnsi="Calibri"/>
          <w:sz w:val="22"/>
        </w:rPr>
        <w:t>Scenario wording is drawn from verified pools so the demonstration can vary without changing the expected classification.</w:t>
      </w:r>
    </w:p>
    <w:p>
      <w:pPr>
        <w:pStyle w:val="Heading1"/>
        <w:keepNext/>
        <w:keepLines/>
      </w:pPr>
      <w:r>
        <w:rPr>
          <w:rFonts w:ascii="Calibri" w:hAnsi="Calibri"/>
          <w:sz w:val="22"/>
        </w:rPr>
        <w:t>Relationship to VERA-MH</w:t>
      </w:r>
    </w:p>
    <w:p>
      <w:r>
        <w:rPr>
          <w:rFonts w:ascii="Calibri" w:hAnsi="Calibri"/>
          <w:sz w:val="22"/>
        </w:rPr>
        <w:t>VERA-MH is a clinically grounded framework for evaluating how a chatbot behaves across a multi-turn mental-health conversation. Its scope includes recognising potential risk, confirming risk appropriately, guiding a person toward human care, communicating effectively, and maintaining safe boundaries.</w:t>
      </w:r>
    </w:p>
    <w:p>
      <w:r>
        <w:rPr>
          <w:rFonts w:ascii="Calibri" w:hAnsi="Calibri"/>
          <w:sz w:val="22"/>
        </w:rPr>
        <w:t>SafeChat is a routing component rather than a complete chatbot. It directly supports parts of the recognition and human-care-routing workflow. Empathy, clarifying questions, conversational quality, clinical appropriateness, and safe response generation remain responsibilities of the host chatbot and deployment.</w:t>
      </w:r>
    </w:p>
    <w:p>
      <w:r>
        <w:rPr>
          <w:rFonts w:ascii="Calibri" w:hAnsi="Calibri"/>
          <w:sz w:val="22"/>
        </w:rPr>
        <w:t>Public VERA-MH v1.1 risk-presentation concepts have informed attributed SafeChat regression families and contextual categories. SafeChat did not import complete persona biographies, diagnoses, demographic attributes, hidden risk labels, or generated conversations into its production detector.</w:t>
      </w:r>
    </w:p>
    <w:p>
      <w:r>
        <w:rPr>
          <w:rFonts w:ascii="Calibri" w:hAnsi="Calibri"/>
          <w:sz w:val="22"/>
        </w:rPr>
        <w:t>In the current configurable accumulation model, a reviewed hedged-passive disclosure produces an immediate LOW support route and records a `passive_ideation` session weight of 2. This allows later contextual evidence to affect the session route while preserving the distinction between a software control and a clinical risk score.</w:t>
      </w:r>
    </w:p>
    <w:p>
      <w:r>
        <w:rPr>
          <w:rFonts w:ascii="Calibri" w:hAnsi="Calibri"/>
          <w:sz w:val="22"/>
        </w:rPr>
        <w:t>SafeChat has not been run through, scored, endorsed, certified, or clinically validated by VERA-MH. Using public VERA-MH materials for regression design does not imply a relationship with Spring Health or the VERA-MH authors.</w:t>
      </w:r>
    </w:p>
    <w:p>
      <w:pPr>
        <w:pStyle w:val="Heading1"/>
        <w:keepNext/>
        <w:keepLines/>
      </w:pPr>
      <w:r>
        <w:rPr>
          <w:rFonts w:ascii="Calibri" w:hAnsi="Calibri"/>
          <w:sz w:val="22"/>
        </w:rPr>
        <w:t>A responsible VERA-MH integration study</w:t>
      </w:r>
    </w:p>
    <w:p>
      <w:r>
        <w:rPr>
          <w:rFonts w:ascii="Calibri" w:hAnsi="Calibri"/>
          <w:sz w:val="22"/>
        </w:rPr>
        <w:t>A useful evaluation object would be a pinned chatbot-plus-SafeChat deployment rather than the detector in isolation. A small pilot could:</w:t>
      </w:r>
    </w:p>
    <w:p>
      <w:pPr>
        <w:numPr>
          <w:ilvl w:val="0"/>
          <w:numId w:val="13"/>
        </w:numPr>
      </w:pPr>
      <w:r>
        <w:rPr>
          <w:rFonts w:ascii="Calibri" w:hAnsi="Calibri"/>
          <w:sz w:val="22"/>
        </w:rPr>
        <w:t>pin one reference chatbot and record its model, prompt, SafeChat version, thresholds, resources, and interface behaviour;</w:t>
      </w:r>
    </w:p>
    <w:p>
      <w:pPr>
        <w:numPr>
          <w:ilvl w:val="0"/>
          <w:numId w:val="13"/>
        </w:numPr>
      </w:pPr>
      <w:r>
        <w:rPr>
          <w:rFonts w:ascii="Calibri" w:hAnsi="Calibri"/>
          <w:sz w:val="22"/>
        </w:rPr>
        <w:t>expose both the chatbot response and SafeChat routing event to the evaluator;</w:t>
      </w:r>
    </w:p>
    <w:p>
      <w:pPr>
        <w:numPr>
          <w:ilvl w:val="0"/>
          <w:numId w:val="13"/>
        </w:numPr>
      </w:pPr>
      <w:r>
        <w:rPr>
          <w:rFonts w:ascii="Calibri" w:hAnsi="Calibri"/>
          <w:sz w:val="22"/>
        </w:rPr>
        <w:t>run relevant VERA-MH multi-turn personas and rubric branches, using blinded human review where required; and</w:t>
      </w:r>
    </w:p>
    <w:p>
      <w:pPr>
        <w:numPr>
          <w:ilvl w:val="0"/>
          <w:numId w:val="13"/>
        </w:numPr>
      </w:pPr>
      <w:r>
        <w:rPr>
          <w:rFonts w:ascii="Calibri" w:hAnsi="Calibri"/>
          <w:sz w:val="22"/>
        </w:rPr>
        <w:t>report successful and failed behaviours while separating component findings from claims about the safety or clinical quality of the complete deployment.</w:t>
      </w:r>
    </w:p>
    <w:p>
      <w:r>
        <w:rPr>
          <w:rFonts w:ascii="Calibri" w:hAnsi="Calibri"/>
          <w:sz w:val="22"/>
        </w:rPr>
        <w:t>The immediate request to VERA-MH researchers is methodological guidance on the correct unit of evaluation, applicable rubric dimensions, interface design, human-review process, and claims boundary. It is not a request for endorsement.</w:t>
      </w:r>
    </w:p>
    <w:p>
      <w:pPr>
        <w:pStyle w:val="Heading1"/>
        <w:keepNext/>
        <w:keepLines/>
      </w:pPr>
      <w:r>
        <w:rPr>
          <w:rFonts w:ascii="Calibri" w:hAnsi="Calibri"/>
          <w:sz w:val="22"/>
        </w:rPr>
        <w:t>Potential applications</w:t>
      </w:r>
    </w:p>
    <w:p>
      <w:r>
        <w:rPr>
          <w:rFonts w:ascii="Calibri" w:hAnsi="Calibri"/>
          <w:sz w:val="22"/>
        </w:rPr>
        <w:t>SafeChat may be useful as one layer within:</w:t>
      </w:r>
    </w:p>
    <w:p>
      <w:pPr>
        <w:numPr>
          <w:ilvl w:val="0"/>
          <w:numId w:val="14"/>
        </w:numPr>
      </w:pPr>
      <w:r>
        <w:rPr>
          <w:rFonts w:ascii="Calibri" w:hAnsi="Calibri"/>
          <w:sz w:val="22"/>
        </w:rPr>
        <w:t>general-purpose, companion, education, workplace, wellbeing, and customer-support chatbots;</w:t>
      </w:r>
    </w:p>
    <w:p>
      <w:pPr>
        <w:numPr>
          <w:ilvl w:val="0"/>
          <w:numId w:val="14"/>
        </w:numPr>
      </w:pPr>
      <w:r>
        <w:rPr>
          <w:rFonts w:ascii="Calibri" w:hAnsi="Calibri"/>
          <w:sz w:val="22"/>
        </w:rPr>
        <w:t>community, nonprofit, library, youth, and public-interest digital services;</w:t>
      </w:r>
    </w:p>
    <w:p>
      <w:pPr>
        <w:numPr>
          <w:ilvl w:val="0"/>
          <w:numId w:val="14"/>
        </w:numPr>
      </w:pPr>
      <w:r>
        <w:rPr>
          <w:rFonts w:ascii="Calibri" w:hAnsi="Calibri"/>
          <w:sz w:val="22"/>
        </w:rPr>
        <w:t>human moderation and safeguarding workflows;</w:t>
      </w:r>
    </w:p>
    <w:p>
      <w:pPr>
        <w:numPr>
          <w:ilvl w:val="0"/>
          <w:numId w:val="14"/>
        </w:numPr>
      </w:pPr>
      <w:r>
        <w:rPr>
          <w:rFonts w:ascii="Calibri" w:hAnsi="Calibri"/>
          <w:sz w:val="22"/>
        </w:rPr>
        <w:t>employee-assistance and workplace wellbeing platforms;</w:t>
      </w:r>
    </w:p>
    <w:p>
      <w:pPr>
        <w:numPr>
          <w:ilvl w:val="0"/>
          <w:numId w:val="14"/>
        </w:numPr>
      </w:pPr>
      <w:r>
        <w:rPr>
          <w:rFonts w:ascii="Calibri" w:hAnsi="Calibri"/>
          <w:sz w:val="22"/>
        </w:rPr>
        <w:t>research prototypes comparing local deterministic, semantic, and model-based safety approaches;</w:t>
      </w:r>
    </w:p>
    <w:p>
      <w:pPr>
        <w:numPr>
          <w:ilvl w:val="0"/>
          <w:numId w:val="14"/>
        </w:numPr>
      </w:pPr>
      <w:r>
        <w:rPr>
          <w:rFonts w:ascii="Calibri" w:hAnsi="Calibri"/>
          <w:sz w:val="22"/>
        </w:rPr>
        <w:t>offline or low-connectivity applications where cloud-only safeguards are unreliable; and</w:t>
      </w:r>
    </w:p>
    <w:p>
      <w:pPr>
        <w:numPr>
          <w:ilvl w:val="0"/>
          <w:numId w:val="14"/>
        </w:numPr>
      </w:pPr>
      <w:r>
        <w:rPr>
          <w:rFonts w:ascii="Calibri" w:hAnsi="Calibri"/>
          <w:sz w:val="22"/>
        </w:rPr>
        <w:t>regulatory or procurement demonstrations that require inspectable crisis-routing behaviour.</w:t>
      </w:r>
    </w:p>
    <w:p>
      <w:r>
        <w:rPr>
          <w:rFonts w:ascii="Calibri" w:hAnsi="Calibri"/>
          <w:sz w:val="22"/>
        </w:rPr>
        <w:t>Every deployment requires its own testing, governance, escalation procedures, user communication, legal review, and clinical oversight where appropriate.</w:t>
      </w:r>
    </w:p>
    <w:p>
      <w:pPr>
        <w:pStyle w:val="Heading1"/>
        <w:keepNext/>
        <w:keepLines/>
      </w:pPr>
      <w:r>
        <w:rPr>
          <w:rFonts w:ascii="Calibri" w:hAnsi="Calibri"/>
          <w:sz w:val="22"/>
        </w:rPr>
        <w:t>Research opportunities</w:t>
      </w:r>
    </w:p>
    <w:p>
      <w:r>
        <w:rPr>
          <w:rFonts w:ascii="Calibri" w:hAnsi="Calibri"/>
          <w:sz w:val="22"/>
        </w:rPr>
        <w:t>Priority research questions include:</w:t>
      </w:r>
    </w:p>
    <w:p>
      <w:pPr>
        <w:numPr>
          <w:ilvl w:val="0"/>
          <w:numId w:val="15"/>
        </w:numPr>
      </w:pPr>
      <w:r>
        <w:rPr>
          <w:rFonts w:ascii="Calibri" w:hAnsi="Calibri"/>
          <w:b/>
          <w:sz w:val="22"/>
        </w:rPr>
        <w:t>Evaluation design:</w:t>
      </w:r>
      <w:r>
        <w:rPr>
          <w:rFonts w:ascii="Calibri" w:hAnsi="Calibri"/>
          <w:sz w:val="22"/>
        </w:rPr>
        <w:t xml:space="preserve"> how a component-level routing event should be represented inside a chatbot-response framework such as VERA-MH.</w:t>
      </w:r>
    </w:p>
    <w:p>
      <w:pPr>
        <w:numPr>
          <w:ilvl w:val="0"/>
          <w:numId w:val="15"/>
        </w:numPr>
      </w:pPr>
      <w:r>
        <w:rPr>
          <w:rFonts w:ascii="Calibri" w:hAnsi="Calibri"/>
          <w:b/>
          <w:sz w:val="22"/>
        </w:rPr>
        <w:t>Independent benchmarking:</w:t>
      </w:r>
      <w:r>
        <w:rPr>
          <w:rFonts w:ascii="Calibri" w:hAnsi="Calibri"/>
          <w:sz w:val="22"/>
        </w:rPr>
        <w:t xml:space="preserve"> sensitivity, specificity, false-positive behaviour, subgroup performance, and comparison with local semantic or ML classifiers.</w:t>
      </w:r>
    </w:p>
    <w:p>
      <w:pPr>
        <w:numPr>
          <w:ilvl w:val="0"/>
          <w:numId w:val="15"/>
        </w:numPr>
      </w:pPr>
      <w:r>
        <w:rPr>
          <w:rFonts w:ascii="Calibri" w:hAnsi="Calibri"/>
          <w:b/>
          <w:sz w:val="22"/>
        </w:rPr>
        <w:t>Multi-turn calibration:</w:t>
      </w:r>
      <w:r>
        <w:rPr>
          <w:rFonts w:ascii="Calibri" w:hAnsi="Calibri"/>
          <w:sz w:val="22"/>
        </w:rPr>
        <w:t xml:space="preserve"> whether transparent accumulation rules improve routing without overreacting to ordinary conversation.</w:t>
      </w:r>
    </w:p>
    <w:p>
      <w:pPr>
        <w:numPr>
          <w:ilvl w:val="0"/>
          <w:numId w:val="15"/>
        </w:numPr>
      </w:pPr>
      <w:r>
        <w:rPr>
          <w:rFonts w:ascii="Calibri" w:hAnsi="Calibri"/>
          <w:b/>
          <w:sz w:val="22"/>
        </w:rPr>
        <w:t>Human factors:</w:t>
      </w:r>
      <w:r>
        <w:rPr>
          <w:rFonts w:ascii="Calibri" w:hAnsi="Calibri"/>
          <w:sz w:val="22"/>
        </w:rPr>
        <w:t xml:space="preserve"> how users understand, trust, dismiss, or act on banners, modals, and transitions to human support.</w:t>
      </w:r>
    </w:p>
    <w:p>
      <w:pPr>
        <w:numPr>
          <w:ilvl w:val="0"/>
          <w:numId w:val="15"/>
        </w:numPr>
      </w:pPr>
      <w:r>
        <w:rPr>
          <w:rFonts w:ascii="Calibri" w:hAnsi="Calibri"/>
          <w:b/>
          <w:sz w:val="22"/>
        </w:rPr>
        <w:t>Cultural and linguistic coverage:</w:t>
      </w:r>
      <w:r>
        <w:rPr>
          <w:rFonts w:ascii="Calibri" w:hAnsi="Calibri"/>
          <w:sz w:val="22"/>
        </w:rPr>
        <w:t xml:space="preserve"> co-designed evaluation beyond current English-language patterns.</w:t>
      </w:r>
    </w:p>
    <w:p>
      <w:pPr>
        <w:numPr>
          <w:ilvl w:val="0"/>
          <w:numId w:val="15"/>
        </w:numPr>
      </w:pPr>
      <w:r>
        <w:rPr>
          <w:rFonts w:ascii="Calibri" w:hAnsi="Calibri"/>
          <w:b/>
          <w:sz w:val="22"/>
        </w:rPr>
        <w:t>Resource quality:</w:t>
      </w:r>
      <w:r>
        <w:rPr>
          <w:rFonts w:ascii="Calibri" w:hAnsi="Calibri"/>
          <w:sz w:val="22"/>
        </w:rPr>
        <w:t xml:space="preserve"> sustainable human verification of international crisis-resource availability and accessibility.</w:t>
      </w:r>
    </w:p>
    <w:p>
      <w:pPr>
        <w:numPr>
          <w:ilvl w:val="0"/>
          <w:numId w:val="15"/>
        </w:numPr>
      </w:pPr>
      <w:r>
        <w:rPr>
          <w:rFonts w:ascii="Calibri" w:hAnsi="Calibri"/>
          <w:b/>
          <w:sz w:val="22"/>
        </w:rPr>
        <w:t>Privacy engineering:</w:t>
      </w:r>
      <w:r>
        <w:rPr>
          <w:rFonts w:ascii="Calibri" w:hAnsi="Calibri"/>
          <w:sz w:val="22"/>
        </w:rPr>
        <w:t xml:space="preserve"> measuring the practical advantages and limitations of local-first safeguarding.</w:t>
      </w:r>
    </w:p>
    <w:p>
      <w:pPr>
        <w:numPr>
          <w:ilvl w:val="0"/>
          <w:numId w:val="15"/>
        </w:numPr>
      </w:pPr>
      <w:r>
        <w:rPr>
          <w:rFonts w:ascii="Calibri" w:hAnsi="Calibri"/>
          <w:b/>
          <w:sz w:val="22"/>
        </w:rPr>
        <w:t>Deployment outcomes:</w:t>
      </w:r>
      <w:r>
        <w:rPr>
          <w:rFonts w:ascii="Calibri" w:hAnsi="Calibri"/>
          <w:sz w:val="22"/>
        </w:rPr>
        <w:t xml:space="preserve"> whether integrated routing improves access to appropriate help without introducing new harms.</w:t>
      </w:r>
    </w:p>
    <w:p>
      <w:r>
        <w:rPr>
          <w:rFonts w:ascii="Calibri" w:hAnsi="Calibri"/>
          <w:sz w:val="22"/>
        </w:rPr>
        <w:t>Research should include clinical expertise, suicide-prevention expertise, lived experience, accessibility review, cultural review, ethics oversight, and appropriate institutional governance.</w:t>
      </w:r>
    </w:p>
    <w:p>
      <w:pPr>
        <w:pStyle w:val="Heading1"/>
        <w:keepNext/>
        <w:keepLines/>
      </w:pPr>
      <w:r>
        <w:rPr>
          <w:rFonts w:ascii="Calibri" w:hAnsi="Calibri"/>
          <w:sz w:val="22"/>
        </w:rPr>
        <w:t>Licensing and collaboration</w:t>
      </w:r>
    </w:p>
    <w:p>
      <w:r>
        <w:rPr>
          <w:rFonts w:ascii="Calibri" w:hAnsi="Calibri"/>
          <w:sz w:val="22"/>
        </w:rPr>
        <w:t>SafeChat is distributed under the Business Source License 1.1. The current Additional Use Grant permits personal, education, research, nonprofit, community, public-interest, crisis-support, public-institution, and qualifying small-commercial use under the licence terms.</w:t>
      </w:r>
    </w:p>
    <w:p>
      <w:r>
        <w:rPr>
          <w:rFonts w:ascii="Calibri" w:hAnsi="Calibri"/>
          <w:sz w:val="22"/>
        </w:rPr>
        <w:t>Commercial entities generating more than USD 100,000 annually from products or services substantially incorporating SafeChat require a commercial licence. The licensed work is scheduled to change to the Mozilla Public License 2.0 on 1 January 2029.</w:t>
      </w:r>
    </w:p>
    <w:p>
      <w:r>
        <w:rPr>
          <w:rFonts w:ascii="Calibri" w:hAnsi="Calibri"/>
          <w:sz w:val="22"/>
        </w:rPr>
        <w:t>Possible collaboration models include:</w:t>
      </w:r>
    </w:p>
    <w:p>
      <w:pPr>
        <w:numPr>
          <w:ilvl w:val="0"/>
          <w:numId w:val="16"/>
        </w:numPr>
      </w:pPr>
      <w:r>
        <w:rPr>
          <w:rFonts w:ascii="Calibri" w:hAnsi="Calibri"/>
          <w:sz w:val="22"/>
        </w:rPr>
        <w:t>independent research or replication studies;</w:t>
      </w:r>
    </w:p>
    <w:p>
      <w:pPr>
        <w:numPr>
          <w:ilvl w:val="0"/>
          <w:numId w:val="16"/>
        </w:numPr>
      </w:pPr>
      <w:r>
        <w:rPr>
          <w:rFonts w:ascii="Calibri" w:hAnsi="Calibri"/>
          <w:sz w:val="22"/>
        </w:rPr>
        <w:t>a reference chatbot adapter and VERA-MH evaluation harness;</w:t>
      </w:r>
    </w:p>
    <w:p>
      <w:pPr>
        <w:numPr>
          <w:ilvl w:val="0"/>
          <w:numId w:val="16"/>
        </w:numPr>
      </w:pPr>
      <w:r>
        <w:rPr>
          <w:rFonts w:ascii="Calibri" w:hAnsi="Calibri"/>
          <w:sz w:val="22"/>
        </w:rPr>
        <w:t>clinical, lived-experience, cultural, accessibility, or ethics review;</w:t>
      </w:r>
    </w:p>
    <w:p>
      <w:pPr>
        <w:numPr>
          <w:ilvl w:val="0"/>
          <w:numId w:val="16"/>
        </w:numPr>
      </w:pPr>
      <w:r>
        <w:rPr>
          <w:rFonts w:ascii="Calibri" w:hAnsi="Calibri"/>
          <w:sz w:val="22"/>
        </w:rPr>
        <w:t>multilingual signal and resource partnerships;</w:t>
      </w:r>
    </w:p>
    <w:p>
      <w:pPr>
        <w:numPr>
          <w:ilvl w:val="0"/>
          <w:numId w:val="16"/>
        </w:numPr>
      </w:pPr>
      <w:r>
        <w:rPr>
          <w:rFonts w:ascii="Calibri" w:hAnsi="Calibri"/>
          <w:sz w:val="22"/>
        </w:rPr>
        <w:t>enterprise integration and commercial licensing;</w:t>
      </w:r>
    </w:p>
    <w:p>
      <w:pPr>
        <w:numPr>
          <w:ilvl w:val="0"/>
          <w:numId w:val="16"/>
        </w:numPr>
      </w:pPr>
      <w:r>
        <w:rPr>
          <w:rFonts w:ascii="Calibri" w:hAnsi="Calibri"/>
          <w:sz w:val="22"/>
        </w:rPr>
        <w:t>sponsored development of moderation, audit, governance, and deployment tooling; and</w:t>
      </w:r>
    </w:p>
    <w:p>
      <w:pPr>
        <w:numPr>
          <w:ilvl w:val="0"/>
          <w:numId w:val="16"/>
        </w:numPr>
      </w:pPr>
      <w:r>
        <w:rPr>
          <w:rFonts w:ascii="Calibri" w:hAnsi="Calibri"/>
          <w:sz w:val="22"/>
        </w:rPr>
        <w:t>public-interest funding for open evaluation infrastructure.</w:t>
      </w:r>
    </w:p>
    <w:p>
      <w:r>
        <w:rPr>
          <w:rFonts w:ascii="Calibri" w:hAnsi="Calibri"/>
          <w:sz w:val="22"/>
        </w:rPr>
        <w:t>Licence terms and the full legal disclaimer should be reviewed before integration. Implementers remain responsible for configuration, testing, supervision, compliance, safeguarding, and their own escalation pathway.</w:t>
      </w:r>
    </w:p>
    <w:p>
      <w:pPr>
        <w:pStyle w:val="Heading1"/>
        <w:keepNext/>
        <w:keepLines/>
      </w:pPr>
      <w:r>
        <w:rPr>
          <w:rFonts w:ascii="Calibri" w:hAnsi="Calibri"/>
          <w:sz w:val="22"/>
        </w:rPr>
        <w:t>Proposed next step</w:t>
      </w:r>
    </w:p>
    <w:p>
      <w:r>
        <w:rPr>
          <w:rFonts w:ascii="Calibri" w:hAnsi="Calibri"/>
          <w:sz w:val="22"/>
        </w:rPr>
        <w:t>Define a small, reproducible pilot around one reference chatbot, one pinned SafeChat release, a documented intervention interface, applicable VERA-MH rubric branches, and an agreed review protocol. Publish the configuration, strengths, failures, and limitations without presenting engineering tests as clinical evidence.</w:t>
      </w:r>
    </w:p>
    <w:p>
      <w:pPr>
        <w:pStyle w:val="Heading1"/>
        <w:keepNext/>
        <w:keepLines/>
      </w:pPr>
      <w:r>
        <w:rPr>
          <w:rFonts w:ascii="Calibri" w:hAnsi="Calibri"/>
          <w:sz w:val="22"/>
        </w:rPr>
        <w:t>Contact and links</w:t>
      </w:r>
    </w:p>
    <w:p>
      <w:r>
        <w:rPr>
          <w:rFonts w:ascii="Calibri" w:hAnsi="Calibri"/>
          <w:b/>
          <w:sz w:val="22"/>
        </w:rPr>
        <w:t>Rob Graham</w:t>
      </w:r>
    </w:p>
    <w:p>
      <w:r>
        <w:rPr>
          <w:rFonts w:ascii="Calibri" w:hAnsi="Calibri"/>
          <w:sz w:val="22"/>
        </w:rPr>
        <w:t>PhD Researcher, RMIT University | FAMTEC</w:t>
      </w:r>
    </w:p>
    <w:p>
      <w:r>
        <w:rPr>
          <w:rFonts w:ascii="Calibri" w:hAnsi="Calibri"/>
          <w:b/>
          <w:sz w:val="22"/>
        </w:rPr>
        <w:t>Email:</w:t>
      </w:r>
      <w:r>
        <w:rPr>
          <w:rFonts w:ascii="Calibri" w:hAnsi="Calibri"/>
          <w:sz w:val="22"/>
        </w:rPr>
        <w:t xml:space="preserve"> rob@fineartmedia.tech</w:t>
      </w:r>
    </w:p>
    <w:p>
      <w:hyperlink r:id="rId12">
        <w:r>
          <w:rPr>
            <w:color w:val="2E74B5"/>
            <w:u w:val="single"/>
          </w:rPr>
          <w:t>Interactive inspector</w:t>
        </w:r>
      </w:hyperlink>
      <w:r>
        <w:rPr>
          <w:rFonts w:ascii="Calibri" w:hAnsi="Calibri"/>
          <w:sz w:val="22"/>
        </w:rPr>
        <w:t xml:space="preserve"> | </w:t>
      </w:r>
      <w:hyperlink r:id="rId14">
        <w:r>
          <w:rPr>
            <w:color w:val="2E74B5"/>
            <w:u w:val="single"/>
          </w:rPr>
          <w:t>Project overview</w:t>
        </w:r>
      </w:hyperlink>
      <w:r>
        <w:rPr>
          <w:rFonts w:ascii="Calibri" w:hAnsi="Calibri"/>
          <w:sz w:val="22"/>
        </w:rPr>
        <w:t xml:space="preserve"> | </w:t>
      </w:r>
      <w:hyperlink r:id="rId13">
        <w:r>
          <w:rPr>
            <w:color w:val="2E74B5"/>
            <w:u w:val="single"/>
          </w:rPr>
          <w:t>SafeChat repository</w:t>
        </w:r>
      </w:hyperlink>
      <w:r>
        <w:rPr>
          <w:rFonts w:ascii="Calibri" w:hAnsi="Calibri"/>
          <w:sz w:val="22"/>
        </w:rPr>
        <w:t xml:space="preserve"> | </w:t>
      </w:r>
      <w:hyperlink r:id="rId15">
        <w:r>
          <w:rPr>
            <w:color w:val="2E74B5"/>
            <w:u w:val="single"/>
          </w:rPr>
          <w:t>VERA-MH</w:t>
        </w:r>
      </w:hyperlink>
      <w:r>
        <w:rPr>
          <w:rFonts w:ascii="Calibri" w:hAnsi="Calibri"/>
          <w:sz w:val="22"/>
        </w:rPr>
        <w:t xml:space="preserve"> | </w:t>
      </w:r>
      <w:hyperlink r:id="rId16">
        <w:r>
          <w:rPr>
            <w:color w:val="2E74B5"/>
            <w:u w:val="single"/>
          </w:rPr>
          <w:t>Legal disclaimer</w:t>
        </w:r>
      </w:hyperlink>
    </w:p>
    <w:p>
      <w:r>
        <w:rPr>
          <w:rFonts w:ascii="Calibri" w:hAnsi="Calibri"/>
          <w:i/>
          <w:color w:val="5B6573"/>
          <w:sz w:val="22"/>
        </w:rPr>
        <w:t>Prepared 19 June 2026. SafeChat is under active development.</w:t>
      </w:r>
    </w:p>
    <w:sectPr w:rsidR="00FC693F" w:rsidRPr="0006063C" w:rsidSect="00034616">
      <w:headerReference w:type="default" r:id="rId9"/>
      <w:footerReference w:type="default" r:id="rId10"/>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B6573"/>
        <w:sz w:val="18"/>
      </w:rPr>
      <w:t xml:space="preserve">Page </w:t>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pPr>
    <w:r>
      <w:rPr>
        <w:rFonts w:ascii="Calibri" w:hAnsi="Calibri"/>
        <w:b/>
        <w:color w:val="5B6573"/>
        <w:sz w:val="18"/>
      </w:rPr>
      <w:t>SAFECHAT  |  PARTNER &amp; RESEARCH OVERVIEW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decimal"/>
      <w:lvlText w:val="%1."/>
      <w:lvlJc w:val="left"/>
      <w:pPr>
        <w:tabs>
          <w:tab w:val="num" w:pos="720"/>
        </w:tabs>
        <w:ind w:left="720" w:hanging="360"/>
        <w:spacing w:after="160" w:line="280" w:lineRule="auto"/>
      </w:pPr>
    </w:lvl>
  </w:abstractNum>
  <w:num w:numId="10">
    <w:abstractNumId w:val="9"/>
  </w:num>
  <w:abstractNum w:abstractNumId="10">
    <w:multiLevelType w:val="singleLevel"/>
    <w:lvl w:ilvl="0">
      <w:start w:val="1"/>
      <w:numFmt w:val="decimal"/>
      <w:lvlText w:val="%1."/>
      <w:lvlJc w:val="left"/>
      <w:pPr>
        <w:tabs>
          <w:tab w:val="num" w:pos="720"/>
        </w:tabs>
        <w:ind w:left="720" w:hanging="360"/>
        <w:spacing w:after="160" w:line="280" w:lineRule="auto"/>
      </w:pPr>
    </w:lvl>
  </w:abstractNum>
  <w:num w:numId="11">
    <w:abstractNumId w:val="10"/>
  </w:num>
  <w:abstractNum w:abstractNumId="11">
    <w:multiLevelType w:val="singleLevel"/>
    <w:lvl w:ilvl="0">
      <w:start w:val="1"/>
      <w:numFmt w:val="bullet"/>
      <w:lvlText w:val="•"/>
      <w:lvlJc w:val="left"/>
      <w:pPr>
        <w:tabs>
          <w:tab w:val="num" w:pos="720"/>
        </w:tabs>
        <w:ind w:left="720" w:hanging="360"/>
        <w:spacing w:after="160" w:line="280" w:lineRule="auto"/>
      </w:pPr>
    </w:lvl>
  </w:abstractNum>
  <w:num w:numId="12">
    <w:abstractNumId w:val="11"/>
  </w:num>
  <w:abstractNum w:abstractNumId="12">
    <w:multiLevelType w:val="singleLevel"/>
    <w:lvl w:ilvl="0">
      <w:start w:val="1"/>
      <w:numFmt w:val="decimal"/>
      <w:lvlText w:val="%1."/>
      <w:lvlJc w:val="left"/>
      <w:pPr>
        <w:tabs>
          <w:tab w:val="num" w:pos="720"/>
        </w:tabs>
        <w:ind w:left="720" w:hanging="360"/>
        <w:spacing w:after="160" w:line="280" w:lineRule="auto"/>
      </w:pPr>
    </w:lvl>
  </w:abstractNum>
  <w:num w:numId="13">
    <w:abstractNumId w:val="12"/>
  </w:num>
  <w:abstractNum w:abstractNumId="13">
    <w:multiLevelType w:val="singleLevel"/>
    <w:lvl w:ilvl="0">
      <w:start w:val="1"/>
      <w:numFmt w:val="bullet"/>
      <w:lvlText w:val="•"/>
      <w:lvlJc w:val="left"/>
      <w:pPr>
        <w:tabs>
          <w:tab w:val="num" w:pos="720"/>
        </w:tabs>
        <w:ind w:left="720" w:hanging="360"/>
        <w:spacing w:after="160" w:line="280" w:lineRule="auto"/>
      </w:pPr>
    </w:lvl>
  </w:abstractNum>
  <w:num w:numId="14">
    <w:abstractNumId w:val="13"/>
  </w:num>
  <w:abstractNum w:abstractNumId="14">
    <w:multiLevelType w:val="singleLevel"/>
    <w:lvl w:ilvl="0">
      <w:start w:val="1"/>
      <w:numFmt w:val="bullet"/>
      <w:lvlText w:val="•"/>
      <w:lvlJc w:val="left"/>
      <w:pPr>
        <w:tabs>
          <w:tab w:val="num" w:pos="720"/>
        </w:tabs>
        <w:ind w:left="720" w:hanging="360"/>
        <w:spacing w:after="160" w:line="280" w:lineRule="auto"/>
      </w:pPr>
    </w:lvl>
  </w:abstractNum>
  <w:num w:numId="15">
    <w:abstractNumId w:val="14"/>
  </w:num>
  <w:abstractNum w:abstractNumId="15">
    <w:multiLevelType w:val="singleLevel"/>
    <w:lvl w:ilvl="0">
      <w:start w:val="1"/>
      <w:numFmt w:val="bullet"/>
      <w:lvlText w:val="•"/>
      <w:lvlJc w:val="left"/>
      <w:pPr>
        <w:tabs>
          <w:tab w:val="num" w:pos="720"/>
        </w:tabs>
        <w:ind w:left="720" w:hanging="360"/>
        <w:spacing w:after="160" w:line="280" w:lineRule="auto"/>
      </w:pPr>
    </w:lvl>
  </w:abstract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
    <w:name w:val="Lead"/>
    <w:pPr>
      <w:spacing w:after="200" w:line="276" w:lineRule="auto"/>
    </w:pPr>
    <w:rPr>
      <w:rFonts w:ascii="Calibri" w:hAnsi="Calibri"/>
      <w:color w:val="0B2545"/>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hyperlink" Target="https://rob-e-graham.github.io/safechat/app/inspector.html" TargetMode="External"/><Relationship Id="rId13" Type="http://schemas.openxmlformats.org/officeDocument/2006/relationships/hyperlink" Target="https://github.com/rob-e-graham/safechat" TargetMode="External"/><Relationship Id="rId14" Type="http://schemas.openxmlformats.org/officeDocument/2006/relationships/hyperlink" Target="https://fineartmedia.tech/safechat" TargetMode="External"/><Relationship Id="rId15" Type="http://schemas.openxmlformats.org/officeDocument/2006/relationships/hyperlink" Target="https://www.vera-mh.com/" TargetMode="External"/><Relationship Id="rId16" Type="http://schemas.openxmlformats.org/officeDocument/2006/relationships/hyperlink" Target="https://github.com/rob-e-graham/safechat/blob/main/docs/legal-disclaime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SafeChat Partner and Research Overview</dc:title>
  <dc:subject>Purpose, operation, VERA-MH integration, research, licensing, and development opportunities</dc:subject>
  <dc:creator>Rob Graham / FAMTEC</dc:creator>
  <cp:keywords>SafeChat, VERA-MH, AI safety, crisis routing, research</cp:keywords>
  <dc:description>generated by python-docx</dc:description>
  <cp:lastModifiedBy/>
  <cp:revision>1</cp:revision>
  <dcterms:created xsi:type="dcterms:W3CDTF">2013-12-23T23:15:00Z</dcterms:created>
  <dcterms:modified xsi:type="dcterms:W3CDTF">2013-12-23T23:15:00Z</dcterms:modified>
  <cp:category/>
</cp:coreProperties>
</file>